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1ABD" w14:textId="54184BA0" w:rsidR="00B74DC7" w:rsidRDefault="00B74DC7" w:rsidP="00B74DC7">
      <w:pPr>
        <w:pStyle w:val="NormalWeb"/>
      </w:pPr>
    </w:p>
    <w:p w14:paraId="314891B3" w14:textId="2965985F" w:rsidR="00B74DC7" w:rsidRDefault="00B74DC7" w:rsidP="00B74DC7">
      <w:pPr>
        <w:pStyle w:val="NormalWeb"/>
        <w:ind w:firstLine="720"/>
        <w:jc w:val="center"/>
      </w:pPr>
      <w:r>
        <w:rPr>
          <w:noProof/>
        </w:rPr>
        <w:drawing>
          <wp:inline distT="0" distB="0" distL="0" distR="0" wp14:anchorId="39932EA8" wp14:editId="6961642D">
            <wp:extent cx="1938528" cy="594360"/>
            <wp:effectExtent l="0" t="0" r="5080" b="0"/>
            <wp:docPr id="1941637410" name="Picture 1941637410" descr="signature_1509023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_150902329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91727" w14:textId="302CBE82" w:rsidR="00B74DC7" w:rsidRDefault="00B74DC7" w:rsidP="00B74DC7">
      <w:pPr>
        <w:pStyle w:val="NormalWeb"/>
        <w:ind w:firstLine="720"/>
        <w:jc w:val="center"/>
      </w:pPr>
      <w:r>
        <w:t>4000 Galleria Parkway / Bee Cave, TX  78738 / (512)767-6631</w:t>
      </w:r>
    </w:p>
    <w:p w14:paraId="3CB7236B" w14:textId="4B63596D" w:rsidR="001D5AF8" w:rsidRDefault="001D5AF8">
      <w:pPr>
        <w:pStyle w:val="BodyText"/>
        <w:ind w:left="1180" w:firstLine="0"/>
        <w:rPr>
          <w:sz w:val="20"/>
        </w:rPr>
      </w:pPr>
    </w:p>
    <w:p w14:paraId="6C869C58" w14:textId="77777777" w:rsidR="001D5AF8" w:rsidRPr="00FA12F8" w:rsidRDefault="00BD22C2" w:rsidP="00B74DC7">
      <w:pPr>
        <w:pStyle w:val="Heading1"/>
        <w:spacing w:before="269"/>
        <w:ind w:left="2160" w:right="19" w:firstLine="720"/>
        <w:rPr>
          <w:color w:val="244061" w:themeColor="accent1" w:themeShade="80"/>
        </w:rPr>
      </w:pPr>
      <w:r w:rsidRPr="00FA12F8">
        <w:rPr>
          <w:color w:val="244061" w:themeColor="accent1" w:themeShade="80"/>
          <w:u w:val="single" w:color="501448"/>
        </w:rPr>
        <w:t>YOUTH</w:t>
      </w:r>
      <w:r w:rsidRPr="00FA12F8">
        <w:rPr>
          <w:color w:val="244061" w:themeColor="accent1" w:themeShade="80"/>
          <w:spacing w:val="-9"/>
          <w:u w:val="single" w:color="501448"/>
        </w:rPr>
        <w:t xml:space="preserve"> </w:t>
      </w:r>
      <w:r w:rsidRPr="00FA12F8">
        <w:rPr>
          <w:color w:val="244061" w:themeColor="accent1" w:themeShade="80"/>
          <w:u w:val="single" w:color="501448"/>
        </w:rPr>
        <w:t>DIVERSION</w:t>
      </w:r>
      <w:r w:rsidRPr="00FA12F8">
        <w:rPr>
          <w:color w:val="244061" w:themeColor="accent1" w:themeShade="80"/>
          <w:spacing w:val="-9"/>
          <w:u w:val="single" w:color="501448"/>
        </w:rPr>
        <w:t xml:space="preserve"> </w:t>
      </w:r>
      <w:r w:rsidRPr="00FA12F8">
        <w:rPr>
          <w:color w:val="244061" w:themeColor="accent1" w:themeShade="80"/>
          <w:spacing w:val="-4"/>
          <w:u w:val="single" w:color="501448"/>
        </w:rPr>
        <w:t>PLAN</w:t>
      </w:r>
    </w:p>
    <w:p w14:paraId="0328C7A5" w14:textId="77777777" w:rsidR="001D5AF8" w:rsidRDefault="00BD22C2">
      <w:pPr>
        <w:pStyle w:val="ListParagraph"/>
        <w:numPr>
          <w:ilvl w:val="0"/>
          <w:numId w:val="1"/>
        </w:numPr>
        <w:tabs>
          <w:tab w:val="left" w:pos="820"/>
        </w:tabs>
        <w:spacing w:before="254"/>
        <w:rPr>
          <w:b/>
          <w:sz w:val="28"/>
        </w:rPr>
      </w:pPr>
      <w:r>
        <w:rPr>
          <w:b/>
          <w:spacing w:val="-2"/>
          <w:sz w:val="28"/>
        </w:rPr>
        <w:t>Description</w:t>
      </w:r>
    </w:p>
    <w:p w14:paraId="4E7FB92A" w14:textId="09C914CD" w:rsidR="001D5AF8" w:rsidRDefault="00BD22C2">
      <w:pPr>
        <w:pStyle w:val="BodyText"/>
        <w:spacing w:before="162" w:line="259" w:lineRule="auto"/>
        <w:ind w:left="820" w:right="111" w:firstLine="0"/>
        <w:jc w:val="both"/>
      </w:pPr>
      <w:r>
        <w:t>As provided by Chapter 45, subchapter “E” of the Texas Code of Criminal Procedure, and contingent on eligibility,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 (age 10</w:t>
      </w:r>
      <w:r>
        <w:rPr>
          <w:spacing w:val="-1"/>
        </w:rPr>
        <w:t xml:space="preserve"> </w:t>
      </w:r>
      <w:r>
        <w:t>to 17) shall be diverted</w:t>
      </w:r>
      <w:r>
        <w:rPr>
          <w:spacing w:val="-1"/>
        </w:rPr>
        <w:t xml:space="preserve"> </w:t>
      </w:r>
      <w:r>
        <w:t xml:space="preserve">from formal criminal prosecution through an established Youth Diversion program, </w:t>
      </w:r>
      <w:r w:rsidR="00116672">
        <w:t>Bee Cave</w:t>
      </w:r>
      <w:r>
        <w:t xml:space="preserve"> Teen Court.</w:t>
      </w:r>
    </w:p>
    <w:p w14:paraId="14EF7141" w14:textId="77777777" w:rsidR="001D5AF8" w:rsidRDefault="001D5AF8">
      <w:pPr>
        <w:pStyle w:val="BodyText"/>
        <w:spacing w:before="19"/>
        <w:ind w:left="0" w:firstLine="0"/>
      </w:pPr>
    </w:p>
    <w:p w14:paraId="40D891CC" w14:textId="77777777" w:rsidR="001D5AF8" w:rsidRDefault="00BD22C2">
      <w:pPr>
        <w:pStyle w:val="BodyText"/>
        <w:spacing w:line="259" w:lineRule="auto"/>
        <w:ind w:left="820" w:right="113" w:firstLine="0"/>
        <w:jc w:val="both"/>
      </w:pPr>
      <w:r>
        <w:t>The</w:t>
      </w:r>
      <w:r>
        <w:rPr>
          <w:spacing w:val="-9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Diversion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Diversion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 realistic and reasonable terms, set by the Municipal Court Judge or the Youth Case Coordinator. Terms may include a combination of conditions such as community service, an educational program,</w:t>
      </w:r>
      <w:r>
        <w:rPr>
          <w:spacing w:val="-1"/>
        </w:rPr>
        <w:t xml:space="preserve"> </w:t>
      </w:r>
      <w:r>
        <w:t>counseling,</w:t>
      </w:r>
      <w:r>
        <w:rPr>
          <w:spacing w:val="-3"/>
        </w:rPr>
        <w:t xml:space="preserve"> </w:t>
      </w:r>
      <w:r>
        <w:t>letters of apology,</w:t>
      </w:r>
      <w:r>
        <w:rPr>
          <w:spacing w:val="-1"/>
        </w:rPr>
        <w:t xml:space="preserve"> </w:t>
      </w:r>
      <w:r>
        <w:t>and/or restitution,</w:t>
      </w:r>
      <w:r>
        <w:rPr>
          <w:spacing w:val="-1"/>
        </w:rPr>
        <w:t xml:space="preserve"> </w:t>
      </w:r>
      <w:r>
        <w:t>etc.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child’s participation</w:t>
      </w:r>
      <w:r>
        <w:rPr>
          <w:spacing w:val="-1"/>
        </w:rPr>
        <w:t xml:space="preserve"> </w:t>
      </w:r>
      <w:r>
        <w:t xml:space="preserve">is voluntary and requires the child to accept responsibility for his or her conduct and engage in a diversion </w:t>
      </w:r>
      <w:r>
        <w:rPr>
          <w:spacing w:val="-2"/>
        </w:rPr>
        <w:t>agreement.</w:t>
      </w:r>
    </w:p>
    <w:p w14:paraId="4F5E0804" w14:textId="77777777" w:rsidR="001D5AF8" w:rsidRDefault="001D5AF8">
      <w:pPr>
        <w:pStyle w:val="BodyText"/>
        <w:spacing w:before="18"/>
        <w:ind w:left="0" w:firstLine="0"/>
      </w:pPr>
    </w:p>
    <w:p w14:paraId="6566512D" w14:textId="4E79C2A3" w:rsidR="001D5AF8" w:rsidRDefault="00BD22C2">
      <w:pPr>
        <w:pStyle w:val="BodyText"/>
        <w:spacing w:line="259" w:lineRule="auto"/>
        <w:ind w:left="820" w:right="114" w:firstLine="0"/>
        <w:jc w:val="both"/>
      </w:pPr>
      <w:r>
        <w:t>The</w:t>
      </w:r>
      <w:r>
        <w:rPr>
          <w:spacing w:val="-8"/>
        </w:rPr>
        <w:t xml:space="preserve"> </w:t>
      </w:r>
      <w:r>
        <w:t>Youth Case Coordinator will monitor the child’s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throughout their participation</w:t>
      </w:r>
      <w:r>
        <w:rPr>
          <w:spacing w:val="-1"/>
        </w:rPr>
        <w:t xml:space="preserve"> </w:t>
      </w:r>
      <w:r>
        <w:t>in the program which may run up to 180 days. If the child satisfies all the requirements of their diversion</w:t>
      </w:r>
      <w:r>
        <w:rPr>
          <w:spacing w:val="-10"/>
        </w:rPr>
        <w:t xml:space="preserve"> </w:t>
      </w:r>
      <w:r>
        <w:t>agreement,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case.</w:t>
      </w:r>
      <w:r>
        <w:rPr>
          <w:spacing w:val="-5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 xml:space="preserve">withdraws or does not successfully complete the diversion agreement, the </w:t>
      </w:r>
      <w:r w:rsidR="00116672">
        <w:t>Bee Cave</w:t>
      </w:r>
      <w:r>
        <w:t xml:space="preserve"> Municipal Court will conduct a hearing to determine if the diversion was unsuccessful. If it is determined the diversion measures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unsuccessful,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juvenile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formally</w:t>
      </w:r>
      <w:r>
        <w:rPr>
          <w:spacing w:val="-10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the charge against the child for criminal prosecution, with the prosecutor’s approval.</w:t>
      </w:r>
    </w:p>
    <w:p w14:paraId="21450F61" w14:textId="77777777" w:rsidR="001D5AF8" w:rsidRDefault="001D5AF8">
      <w:pPr>
        <w:pStyle w:val="BodyText"/>
        <w:spacing w:before="21"/>
        <w:ind w:left="0" w:firstLine="0"/>
      </w:pPr>
    </w:p>
    <w:p w14:paraId="716BC285" w14:textId="77777777" w:rsidR="001D5AF8" w:rsidRDefault="00BD22C2">
      <w:pPr>
        <w:pStyle w:val="BodyText"/>
        <w:spacing w:line="256" w:lineRule="auto"/>
        <w:ind w:left="820" w:right="121" w:firstLine="0"/>
        <w:jc w:val="both"/>
      </w:pPr>
      <w:r>
        <w:t>If it is determined that more time is necessary for a young person to successfully complete diversion, a diversion contract can be extended and/or adjusted.</w:t>
      </w:r>
    </w:p>
    <w:p w14:paraId="4E1250B1" w14:textId="77777777" w:rsidR="001D5AF8" w:rsidRDefault="001D5AF8">
      <w:pPr>
        <w:pStyle w:val="BodyText"/>
        <w:spacing w:before="23"/>
        <w:ind w:left="0" w:firstLine="0"/>
      </w:pPr>
    </w:p>
    <w:p w14:paraId="2FAE7131" w14:textId="77777777" w:rsidR="001D5AF8" w:rsidRDefault="00BD22C2">
      <w:pPr>
        <w:pStyle w:val="Heading1"/>
        <w:numPr>
          <w:ilvl w:val="0"/>
          <w:numId w:val="1"/>
        </w:numPr>
        <w:tabs>
          <w:tab w:val="left" w:pos="820"/>
        </w:tabs>
        <w:spacing w:before="1"/>
      </w:pPr>
      <w:r>
        <w:rPr>
          <w:spacing w:val="-2"/>
        </w:rPr>
        <w:t>Eligibility</w:t>
      </w:r>
    </w:p>
    <w:p w14:paraId="523924F0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161" w:line="259" w:lineRule="auto"/>
        <w:ind w:right="119"/>
      </w:pPr>
      <w:r>
        <w:t>The child is charged with a misdemeanor offense, punishable by fine only, other than a</w:t>
      </w:r>
      <w:r>
        <w:rPr>
          <w:spacing w:val="40"/>
        </w:rPr>
        <w:t xml:space="preserve"> </w:t>
      </w:r>
      <w:r>
        <w:t>traffic offense.</w:t>
      </w:r>
    </w:p>
    <w:p w14:paraId="754AF79B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</w:pPr>
      <w:r>
        <w:t>A</w:t>
      </w:r>
      <w:r>
        <w:rPr>
          <w:spacing w:val="-1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diversion</w:t>
      </w:r>
      <w:r>
        <w:rPr>
          <w:spacing w:val="-5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365</w:t>
      </w:r>
      <w:r>
        <w:rPr>
          <w:spacing w:val="-4"/>
        </w:rPr>
        <w:t xml:space="preserve"> </w:t>
      </w:r>
      <w:r>
        <w:rPr>
          <w:spacing w:val="-2"/>
        </w:rPr>
        <w:t>days.</w:t>
      </w:r>
    </w:p>
    <w:p w14:paraId="5809EF24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18"/>
        <w:ind w:left="1539" w:hanging="359"/>
      </w:pPr>
      <w:r>
        <w:t>A</w:t>
      </w:r>
      <w:r>
        <w:rPr>
          <w:spacing w:val="-1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diversion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unsuccessful</w:t>
      </w:r>
      <w:r>
        <w:rPr>
          <w:spacing w:val="-2"/>
        </w:rPr>
        <w:t xml:space="preserve"> diversion.</w:t>
      </w:r>
    </w:p>
    <w:p w14:paraId="10281F68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21" w:line="259" w:lineRule="auto"/>
        <w:ind w:right="116"/>
      </w:pPr>
      <w:r>
        <w:t>A</w:t>
      </w:r>
      <w:r>
        <w:rPr>
          <w:spacing w:val="-21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eligible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diversion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diversion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objected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attorney</w:t>
      </w:r>
      <w:r>
        <w:rPr>
          <w:spacing w:val="-12"/>
        </w:rPr>
        <w:t xml:space="preserve"> </w:t>
      </w:r>
      <w:r>
        <w:t>representing the state.</w:t>
      </w:r>
    </w:p>
    <w:p w14:paraId="6E499EC3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1" w:line="256" w:lineRule="auto"/>
        <w:ind w:right="120"/>
      </w:pPr>
      <w:r>
        <w:t>A</w:t>
      </w:r>
      <w:r>
        <w:rPr>
          <w:spacing w:val="-18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diverted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prosecution</w:t>
      </w:r>
      <w:r>
        <w:rPr>
          <w:spacing w:val="-12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and child’s parent/guardian.</w:t>
      </w:r>
    </w:p>
    <w:p w14:paraId="195C91B5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</w:pP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rPr>
          <w:u w:val="single"/>
        </w:rPr>
        <w:t>10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younger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u w:val="single"/>
        </w:rPr>
        <w:t>17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age</w:t>
      </w:r>
      <w:r>
        <w:rPr>
          <w:spacing w:val="-4"/>
        </w:rPr>
        <w:t>.</w:t>
      </w:r>
    </w:p>
    <w:p w14:paraId="0F4E91C4" w14:textId="77777777" w:rsidR="001D5AF8" w:rsidRDefault="001D5AF8">
      <w:pPr>
        <w:sectPr w:rsidR="001D5AF8">
          <w:footerReference w:type="default" r:id="rId8"/>
          <w:type w:val="continuous"/>
          <w:pgSz w:w="12240" w:h="15840"/>
          <w:pgMar w:top="1000" w:right="1320" w:bottom="1520" w:left="1340" w:header="0" w:footer="1325" w:gutter="0"/>
          <w:pgNumType w:start="1"/>
          <w:cols w:space="720"/>
        </w:sectPr>
      </w:pPr>
    </w:p>
    <w:p w14:paraId="543ACAD8" w14:textId="77777777" w:rsidR="001D5AF8" w:rsidRDefault="00BD22C2">
      <w:pPr>
        <w:pStyle w:val="Heading1"/>
        <w:numPr>
          <w:ilvl w:val="0"/>
          <w:numId w:val="1"/>
        </w:numPr>
        <w:tabs>
          <w:tab w:val="left" w:pos="820"/>
        </w:tabs>
        <w:spacing w:before="71"/>
      </w:pPr>
      <w:r>
        <w:rPr>
          <w:spacing w:val="-2"/>
        </w:rPr>
        <w:lastRenderedPageBreak/>
        <w:t>Youth</w:t>
      </w:r>
      <w:r>
        <w:rPr>
          <w:spacing w:val="-8"/>
        </w:rPr>
        <w:t xml:space="preserve"> </w:t>
      </w:r>
      <w:r>
        <w:rPr>
          <w:spacing w:val="-2"/>
        </w:rPr>
        <w:t>Diversion</w:t>
      </w:r>
      <w:r>
        <w:rPr>
          <w:spacing w:val="-8"/>
        </w:rPr>
        <w:t xml:space="preserve"> </w:t>
      </w:r>
      <w:r>
        <w:rPr>
          <w:spacing w:val="-2"/>
        </w:rPr>
        <w:t>Goals</w:t>
      </w:r>
    </w:p>
    <w:p w14:paraId="6E84949C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162"/>
        <w:ind w:left="1539" w:hanging="359"/>
      </w:pPr>
      <w:r>
        <w:t>Prevent</w:t>
      </w:r>
      <w:r>
        <w:rPr>
          <w:spacing w:val="-7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rPr>
          <w:spacing w:val="-2"/>
        </w:rPr>
        <w:t>prosecution.</w:t>
      </w:r>
    </w:p>
    <w:p w14:paraId="6F462433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</w:pPr>
      <w:r>
        <w:t>Empower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rPr>
          <w:spacing w:val="-2"/>
        </w:rPr>
        <w:t>actions.</w:t>
      </w:r>
    </w:p>
    <w:p w14:paraId="70E7985C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1"/>
        <w:ind w:left="1539" w:hanging="359"/>
      </w:pPr>
      <w:r>
        <w:t>Encourage</w:t>
      </w:r>
      <w:r>
        <w:rPr>
          <w:spacing w:val="-4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consequences.</w:t>
      </w:r>
    </w:p>
    <w:p w14:paraId="7FCCE78C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1"/>
        <w:ind w:left="1539" w:hanging="359"/>
      </w:pPr>
      <w:r>
        <w:t>Deter</w:t>
      </w:r>
      <w:r>
        <w:rPr>
          <w:spacing w:val="-6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rPr>
          <w:spacing w:val="-2"/>
        </w:rPr>
        <w:t>conduct.</w:t>
      </w:r>
    </w:p>
    <w:p w14:paraId="72DBD5E0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18"/>
        <w:ind w:left="1539" w:hanging="359"/>
      </w:pPr>
      <w:r>
        <w:t>Prevent</w:t>
      </w:r>
      <w:r>
        <w:rPr>
          <w:spacing w:val="-4"/>
        </w:rPr>
        <w:t xml:space="preserve"> </w:t>
      </w:r>
      <w:r>
        <w:t>creation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rPr>
          <w:spacing w:val="-2"/>
        </w:rPr>
        <w:t>records.</w:t>
      </w:r>
    </w:p>
    <w:p w14:paraId="76A8E17E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</w:pP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recurrence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gateway</w:t>
      </w:r>
      <w:r>
        <w:rPr>
          <w:spacing w:val="-2"/>
        </w:rPr>
        <w:t xml:space="preserve"> misdemeanors.</w:t>
      </w:r>
    </w:p>
    <w:p w14:paraId="47DF8700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21" w:line="259" w:lineRule="auto"/>
        <w:ind w:right="115"/>
      </w:pPr>
      <w:r>
        <w:t xml:space="preserve">Avoid currency punishments for youth and their parent/guardians with limited financial </w:t>
      </w:r>
      <w:r>
        <w:rPr>
          <w:spacing w:val="-2"/>
        </w:rPr>
        <w:t>resources.</w:t>
      </w:r>
    </w:p>
    <w:p w14:paraId="654AD7F3" w14:textId="77777777" w:rsidR="001D5AF8" w:rsidRDefault="001D5AF8">
      <w:pPr>
        <w:pStyle w:val="BodyText"/>
        <w:spacing w:before="18"/>
        <w:ind w:left="0" w:firstLine="0"/>
      </w:pPr>
    </w:p>
    <w:p w14:paraId="034B7406" w14:textId="77777777" w:rsidR="001D5AF8" w:rsidRDefault="00BD22C2">
      <w:pPr>
        <w:pStyle w:val="Heading1"/>
        <w:numPr>
          <w:ilvl w:val="0"/>
          <w:numId w:val="1"/>
        </w:numPr>
        <w:tabs>
          <w:tab w:val="left" w:pos="820"/>
        </w:tabs>
      </w:pPr>
      <w:r>
        <w:rPr>
          <w:spacing w:val="-2"/>
        </w:rPr>
        <w:t>Youth</w:t>
      </w:r>
      <w:r>
        <w:rPr>
          <w:spacing w:val="-8"/>
        </w:rPr>
        <w:t xml:space="preserve"> </w:t>
      </w:r>
      <w:r>
        <w:rPr>
          <w:spacing w:val="-2"/>
        </w:rPr>
        <w:t>Diversion</w:t>
      </w:r>
      <w:r>
        <w:rPr>
          <w:spacing w:val="-8"/>
        </w:rPr>
        <w:t xml:space="preserve"> </w:t>
      </w:r>
      <w:r>
        <w:rPr>
          <w:spacing w:val="-4"/>
        </w:rPr>
        <w:t>Plan</w:t>
      </w:r>
    </w:p>
    <w:p w14:paraId="00AECF7E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162" w:line="259" w:lineRule="auto"/>
        <w:ind w:right="115"/>
        <w:jc w:val="both"/>
      </w:pPr>
      <w:r>
        <w:t>Bring together participants (e.g., child and parent(s)/guardian), Judge, Youth Diversion Coordinator or Juvenile Case Manager, prosecutor, etc.)</w:t>
      </w:r>
    </w:p>
    <w:p w14:paraId="4D5AC8ED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jc w:val="both"/>
      </w:pPr>
      <w: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charge(s).</w:t>
      </w:r>
    </w:p>
    <w:p w14:paraId="2EDB06C2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20" w:line="256" w:lineRule="auto"/>
        <w:ind w:right="119"/>
        <w:jc w:val="both"/>
      </w:pPr>
      <w:r>
        <w:t>Ensure the child and parent(s)/guardian understand participation is not an admission of guilt and is voluntary.</w:t>
      </w:r>
    </w:p>
    <w:p w14:paraId="239EFEF8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4"/>
        <w:ind w:left="1539" w:hanging="359"/>
        <w:jc w:val="both"/>
      </w:pP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diversion</w:t>
      </w:r>
      <w:r>
        <w:rPr>
          <w:spacing w:val="-3"/>
        </w:rPr>
        <w:t xml:space="preserve"> </w:t>
      </w:r>
      <w:r>
        <w:rPr>
          <w:spacing w:val="-4"/>
        </w:rPr>
        <w:t>plan.</w:t>
      </w:r>
    </w:p>
    <w:p w14:paraId="25A8364E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before="21" w:line="259" w:lineRule="auto"/>
        <w:ind w:right="115"/>
        <w:jc w:val="both"/>
      </w:pPr>
      <w:r>
        <w:t xml:space="preserve">Set requirements and ensure the child and parent(s)/guardian comprehend the diversion </w:t>
      </w:r>
      <w:r>
        <w:rPr>
          <w:spacing w:val="-2"/>
        </w:rPr>
        <w:t>agreement.</w:t>
      </w:r>
    </w:p>
    <w:p w14:paraId="41380961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40"/>
        </w:tabs>
        <w:spacing w:line="259" w:lineRule="auto"/>
        <w:ind w:right="117"/>
        <w:jc w:val="both"/>
      </w:pPr>
      <w:r>
        <w:t>The child and parent(s)/guardians) accept and sign the individualized, written diversion agreement. The agreement will include terms of compliance, duration of the agreement, and a date by which conditions must be met. (These terms and conditions will be set on a case-by-case basis).</w:t>
      </w:r>
    </w:p>
    <w:p w14:paraId="1DCCAD2D" w14:textId="77777777" w:rsidR="001D5AF8" w:rsidRDefault="001D5AF8">
      <w:pPr>
        <w:pStyle w:val="BodyText"/>
        <w:spacing w:before="17"/>
        <w:ind w:left="0" w:firstLine="0"/>
      </w:pPr>
    </w:p>
    <w:p w14:paraId="501C5025" w14:textId="77777777" w:rsidR="001D5AF8" w:rsidRDefault="00BD22C2">
      <w:pPr>
        <w:pStyle w:val="Heading1"/>
        <w:numPr>
          <w:ilvl w:val="0"/>
          <w:numId w:val="1"/>
        </w:numPr>
        <w:tabs>
          <w:tab w:val="left" w:pos="820"/>
        </w:tabs>
      </w:pPr>
      <w:r>
        <w:rPr>
          <w:spacing w:val="-2"/>
        </w:rPr>
        <w:t>Strategies</w:t>
      </w:r>
    </w:p>
    <w:p w14:paraId="693B6924" w14:textId="144749FC" w:rsidR="001D5AF8" w:rsidRDefault="00BD22C2">
      <w:pPr>
        <w:pStyle w:val="BodyText"/>
        <w:spacing w:before="159"/>
        <w:ind w:left="820" w:right="117" w:firstLine="0"/>
        <w:jc w:val="both"/>
      </w:pPr>
      <w:r>
        <w:t xml:space="preserve">The court may implement numerous strategies to reduce </w:t>
      </w:r>
      <w:r w:rsidR="00116672">
        <w:t>recidivism</w:t>
      </w:r>
      <w:r>
        <w:t xml:space="preserve"> and increase compliance for youth cases, as referenced in Chapter 45, Code of Criminal Procedure, Subchapter E. Youth Diversion, Art. 45.305, which include but are not limited to:</w:t>
      </w:r>
    </w:p>
    <w:p w14:paraId="273D71C8" w14:textId="77777777" w:rsidR="001D5AF8" w:rsidRDefault="001D5AF8">
      <w:pPr>
        <w:pStyle w:val="BodyText"/>
        <w:spacing w:before="1"/>
        <w:ind w:left="0" w:firstLine="0"/>
      </w:pPr>
    </w:p>
    <w:p w14:paraId="7B42C81D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line="252" w:lineRule="exact"/>
        <w:ind w:left="1630" w:hanging="359"/>
        <w:jc w:val="both"/>
      </w:pPr>
      <w:r>
        <w:t>Require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teen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4C040528" w14:textId="7C801425" w:rsidR="001D5AF8" w:rsidRDefault="00BD22C2">
      <w:pPr>
        <w:pStyle w:val="ListParagraph"/>
        <w:numPr>
          <w:ilvl w:val="1"/>
          <w:numId w:val="1"/>
        </w:numPr>
        <w:tabs>
          <w:tab w:val="left" w:pos="1631"/>
        </w:tabs>
        <w:ind w:left="1631" w:right="117"/>
        <w:jc w:val="both"/>
      </w:pPr>
      <w:r>
        <w:t xml:space="preserve">Perform Community based services at a non-profit organization or government agency that provides services to the </w:t>
      </w:r>
      <w:r w:rsidR="00116672">
        <w:t>public</w:t>
      </w:r>
      <w:r>
        <w:t xml:space="preserve"> that enhances the social welfare and general well-being of the community.</w:t>
      </w:r>
    </w:p>
    <w:p w14:paraId="5146BCDA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before="1" w:line="252" w:lineRule="exact"/>
        <w:ind w:left="1630" w:hanging="359"/>
        <w:jc w:val="both"/>
      </w:pPr>
      <w:r>
        <w:t>Attend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21C7D190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1"/>
        </w:tabs>
        <w:ind w:left="1631" w:right="120"/>
      </w:pPr>
      <w:r>
        <w:t>Attend a</w:t>
      </w:r>
      <w:r>
        <w:rPr>
          <w:spacing w:val="27"/>
        </w:rPr>
        <w:t xml:space="preserve"> </w:t>
      </w:r>
      <w:r>
        <w:t>preparatory</w:t>
      </w:r>
      <w:r>
        <w:rPr>
          <w:spacing w:val="27"/>
        </w:rPr>
        <w:t xml:space="preserve"> </w:t>
      </w:r>
      <w:r>
        <w:t>class for the high</w:t>
      </w:r>
      <w:r>
        <w:rPr>
          <w:spacing w:val="27"/>
        </w:rPr>
        <w:t xml:space="preserve"> </w:t>
      </w:r>
      <w:r>
        <w:t>school equivalency</w:t>
      </w:r>
      <w:r>
        <w:rPr>
          <w:spacing w:val="27"/>
        </w:rPr>
        <w:t xml:space="preserve"> </w:t>
      </w:r>
      <w:r>
        <w:t>examination,</w:t>
      </w:r>
      <w:r>
        <w:rPr>
          <w:spacing w:val="27"/>
        </w:rPr>
        <w:t xml:space="preserve"> </w:t>
      </w:r>
      <w:r>
        <w:t>administered under section 7.11, Texas Education Code</w:t>
      </w:r>
    </w:p>
    <w:p w14:paraId="09BF370A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before="1" w:line="252" w:lineRule="exact"/>
        <w:ind w:left="1630" w:hanging="359"/>
      </w:pPr>
      <w:r>
        <w:t>Attend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rPr>
          <w:spacing w:val="-2"/>
        </w:rPr>
        <w:t>program.</w:t>
      </w:r>
    </w:p>
    <w:p w14:paraId="07AF372E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line="252" w:lineRule="exact"/>
        <w:ind w:left="1630" w:hanging="359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counseling,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in-school</w:t>
      </w:r>
      <w:r>
        <w:rPr>
          <w:spacing w:val="-6"/>
        </w:rPr>
        <w:t xml:space="preserve"> </w:t>
      </w:r>
      <w:r>
        <w:rPr>
          <w:spacing w:val="-2"/>
        </w:rPr>
        <w:t>counseling.</w:t>
      </w:r>
    </w:p>
    <w:p w14:paraId="67E48A31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before="1"/>
        <w:ind w:left="1630" w:hanging="359"/>
      </w:pPr>
      <w: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restitution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offense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rPr>
          <w:spacing w:val="-2"/>
        </w:rPr>
        <w:t>property.</w:t>
      </w:r>
    </w:p>
    <w:p w14:paraId="459679A1" w14:textId="77777777" w:rsidR="001D5AF8" w:rsidRDefault="001D5AF8">
      <w:pPr>
        <w:sectPr w:rsidR="001D5AF8">
          <w:pgSz w:w="12240" w:h="15840"/>
          <w:pgMar w:top="1400" w:right="1320" w:bottom="1520" w:left="1340" w:header="0" w:footer="1325" w:gutter="0"/>
          <w:cols w:space="720"/>
        </w:sectPr>
      </w:pPr>
    </w:p>
    <w:p w14:paraId="38C4EAAF" w14:textId="77777777" w:rsidR="001D5AF8" w:rsidRDefault="00BD22C2">
      <w:pPr>
        <w:pStyle w:val="Heading1"/>
        <w:numPr>
          <w:ilvl w:val="0"/>
          <w:numId w:val="1"/>
        </w:numPr>
        <w:tabs>
          <w:tab w:val="left" w:pos="820"/>
        </w:tabs>
        <w:spacing w:before="61"/>
      </w:pPr>
      <w:r>
        <w:lastRenderedPageBreak/>
        <w:t>Case</w:t>
      </w:r>
      <w:r>
        <w:rPr>
          <w:spacing w:val="-2"/>
        </w:rPr>
        <w:t xml:space="preserve"> Management</w:t>
      </w:r>
    </w:p>
    <w:p w14:paraId="756C0334" w14:textId="77777777" w:rsidR="001D5AF8" w:rsidRDefault="00BD22C2">
      <w:pPr>
        <w:pStyle w:val="BodyText"/>
        <w:spacing w:before="164" w:line="256" w:lineRule="auto"/>
        <w:ind w:left="820" w:firstLine="0"/>
      </w:pPr>
      <w:r>
        <w:t>During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diversion</w:t>
      </w:r>
      <w:r>
        <w:rPr>
          <w:spacing w:val="29"/>
        </w:rPr>
        <w:t xml:space="preserve"> </w:t>
      </w:r>
      <w:r>
        <w:t>period,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Judge, Youth</w:t>
      </w:r>
      <w:r>
        <w:rPr>
          <w:spacing w:val="33"/>
        </w:rPr>
        <w:t xml:space="preserve"> </w:t>
      </w:r>
      <w:r>
        <w:t>Case</w:t>
      </w:r>
      <w:r>
        <w:rPr>
          <w:spacing w:val="28"/>
        </w:rPr>
        <w:t xml:space="preserve"> </w:t>
      </w:r>
      <w:r>
        <w:t>Coordinator,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Prosecutor</w:t>
      </w:r>
      <w:r>
        <w:rPr>
          <w:spacing w:val="28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follow-up periodically for the sole purpose of evaluating program progress.</w:t>
      </w:r>
    </w:p>
    <w:p w14:paraId="4BC3D49B" w14:textId="77777777" w:rsidR="001D5AF8" w:rsidRDefault="00BD22C2">
      <w:pPr>
        <w:pStyle w:val="BodyText"/>
        <w:spacing w:before="3"/>
        <w:ind w:left="820" w:firstLine="0"/>
      </w:pPr>
      <w:r>
        <w:t>Follow-up</w:t>
      </w:r>
      <w:r>
        <w:rPr>
          <w:spacing w:val="-6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32C01BBF" w14:textId="77777777" w:rsidR="001D5AF8" w:rsidRDefault="001D5AF8">
      <w:pPr>
        <w:pStyle w:val="BodyText"/>
        <w:spacing w:before="20"/>
        <w:ind w:left="0" w:firstLine="0"/>
      </w:pPr>
    </w:p>
    <w:p w14:paraId="0EF53546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Follow-up</w:t>
      </w:r>
      <w:r>
        <w:rPr>
          <w:spacing w:val="-3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parent(s)/guardian.</w:t>
      </w:r>
    </w:p>
    <w:p w14:paraId="70096B76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</w:pPr>
      <w:r>
        <w:t>Contacting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provider.</w:t>
      </w:r>
    </w:p>
    <w:p w14:paraId="346C6E13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1"/>
        <w:ind w:left="1539" w:hanging="359"/>
      </w:pP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officials.</w:t>
      </w:r>
    </w:p>
    <w:p w14:paraId="3EC7B16F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18"/>
        <w:ind w:left="1539" w:hanging="359"/>
      </w:pPr>
      <w:r>
        <w:t>Conduct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needed.</w:t>
      </w:r>
    </w:p>
    <w:p w14:paraId="0DEEC3B2" w14:textId="77777777" w:rsidR="001D5AF8" w:rsidRDefault="00BD22C2">
      <w:pPr>
        <w:pStyle w:val="ListParagraph"/>
        <w:numPr>
          <w:ilvl w:val="1"/>
          <w:numId w:val="1"/>
        </w:numPr>
        <w:tabs>
          <w:tab w:val="left" w:pos="1539"/>
        </w:tabs>
        <w:spacing w:before="21"/>
        <w:ind w:left="1539" w:hanging="359"/>
      </w:pPr>
      <w:r>
        <w:t>Referrals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providers.</w:t>
      </w:r>
    </w:p>
    <w:p w14:paraId="1BD64B5F" w14:textId="77777777" w:rsidR="001D5AF8" w:rsidRDefault="001D5AF8">
      <w:pPr>
        <w:pStyle w:val="BodyText"/>
        <w:spacing w:before="64"/>
        <w:ind w:left="0" w:firstLine="0"/>
      </w:pPr>
    </w:p>
    <w:p w14:paraId="07164ED6" w14:textId="77777777" w:rsidR="001D5AF8" w:rsidRDefault="00BD22C2">
      <w:pPr>
        <w:pStyle w:val="Heading1"/>
        <w:numPr>
          <w:ilvl w:val="0"/>
          <w:numId w:val="1"/>
        </w:numPr>
        <w:tabs>
          <w:tab w:val="left" w:pos="820"/>
        </w:tabs>
      </w:pPr>
      <w:r>
        <w:t>Conclusion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Case</w:t>
      </w:r>
    </w:p>
    <w:p w14:paraId="7DDB1A9D" w14:textId="77777777" w:rsidR="001D5AF8" w:rsidRDefault="00BD22C2">
      <w:pPr>
        <w:pStyle w:val="BodyText"/>
        <w:spacing w:before="160"/>
        <w:ind w:left="820" w:firstLine="0"/>
      </w:pP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2"/>
          <w:u w:val="single"/>
        </w:rPr>
        <w:t xml:space="preserve"> </w:t>
      </w:r>
      <w:r>
        <w:rPr>
          <w:u w:val="single"/>
        </w:rPr>
        <w:t>successfully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complies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terms</w:t>
      </w:r>
      <w:r>
        <w:rPr>
          <w:spacing w:val="-4"/>
          <w:u w:val="single"/>
        </w:rPr>
        <w:t xml:space="preserve"> </w:t>
      </w:r>
      <w:r>
        <w:rPr>
          <w:u w:val="single"/>
        </w:rPr>
        <w:t>set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diversion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agreement,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closed</w:t>
      </w:r>
      <w:r>
        <w:t xml:space="preserve"> </w:t>
      </w:r>
      <w:r>
        <w:rPr>
          <w:u w:val="single"/>
        </w:rPr>
        <w:t>without further prosecution and is reported as successfully completed</w:t>
      </w:r>
      <w:r>
        <w:t>. Should the child</w:t>
      </w:r>
    </w:p>
    <w:p w14:paraId="5999060D" w14:textId="77777777" w:rsidR="001D5AF8" w:rsidRDefault="00BD22C2">
      <w:pPr>
        <w:pStyle w:val="BodyText"/>
        <w:ind w:left="820" w:firstLine="0"/>
      </w:pPr>
      <w:r>
        <w:t>voluntarily</w:t>
      </w:r>
      <w:r>
        <w:rPr>
          <w:spacing w:val="-2"/>
        </w:rPr>
        <w:t xml:space="preserve"> </w:t>
      </w:r>
      <w:r>
        <w:t>withdrawal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diversion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agreement, the court will:</w:t>
      </w:r>
    </w:p>
    <w:p w14:paraId="5E89F4DE" w14:textId="77777777" w:rsidR="001D5AF8" w:rsidRDefault="001D5AF8">
      <w:pPr>
        <w:pStyle w:val="BodyText"/>
        <w:spacing w:before="2"/>
        <w:ind w:left="0" w:firstLine="0"/>
      </w:pPr>
    </w:p>
    <w:p w14:paraId="6D83C1D0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ind w:left="1630" w:hanging="359"/>
      </w:pPr>
      <w:r>
        <w:t>Conduct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non-adversarial</w:t>
      </w:r>
      <w:r>
        <w:rPr>
          <w:spacing w:val="-5"/>
        </w:rPr>
        <w:t xml:space="preserve"> </w:t>
      </w:r>
      <w:r>
        <w:rPr>
          <w:spacing w:val="-2"/>
        </w:rPr>
        <w:t>hearing.</w:t>
      </w:r>
    </w:p>
    <w:p w14:paraId="72AF283E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1"/>
        </w:tabs>
        <w:spacing w:before="21" w:line="259" w:lineRule="auto"/>
        <w:ind w:left="1631" w:right="847"/>
      </w:pP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diversion </w:t>
      </w:r>
      <w:r>
        <w:rPr>
          <w:spacing w:val="-2"/>
        </w:rPr>
        <w:t>agreement.</w:t>
      </w:r>
    </w:p>
    <w:p w14:paraId="44A7D114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ind w:left="1630" w:hanging="359"/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diversion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and amend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needed.</w:t>
      </w:r>
    </w:p>
    <w:p w14:paraId="750CBE29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before="19"/>
        <w:ind w:left="1630" w:hanging="359"/>
      </w:pPr>
      <w:r>
        <w:t>Transfer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juvenile</w:t>
      </w:r>
      <w:r>
        <w:rPr>
          <w:spacing w:val="-5"/>
        </w:rPr>
        <w:t xml:space="preserve"> </w:t>
      </w:r>
      <w:r>
        <w:rPr>
          <w:spacing w:val="-2"/>
        </w:rPr>
        <w:t>court.</w:t>
      </w:r>
    </w:p>
    <w:p w14:paraId="04E81931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before="20"/>
        <w:ind w:left="1630" w:hanging="359"/>
      </w:pPr>
      <w:r>
        <w:t>Refer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Prosecutor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rPr>
          <w:spacing w:val="-2"/>
        </w:rPr>
        <w:t>consideration.</w:t>
      </w:r>
    </w:p>
    <w:p w14:paraId="571B2EA9" w14:textId="77777777" w:rsidR="001D5AF8" w:rsidRDefault="00BD22C2">
      <w:pPr>
        <w:pStyle w:val="ListParagraph"/>
        <w:numPr>
          <w:ilvl w:val="1"/>
          <w:numId w:val="1"/>
        </w:numPr>
        <w:tabs>
          <w:tab w:val="left" w:pos="1630"/>
        </w:tabs>
        <w:spacing w:before="21"/>
        <w:ind w:left="1630" w:hanging="359"/>
      </w:pPr>
      <w:r>
        <w:t>Issue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contempt</w:t>
      </w:r>
      <w:r>
        <w:rPr>
          <w:spacing w:val="-7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parent(s)/guardian.</w:t>
      </w:r>
    </w:p>
    <w:sectPr w:rsidR="001D5AF8">
      <w:pgSz w:w="12240" w:h="15840"/>
      <w:pgMar w:top="1180" w:right="1320" w:bottom="1520" w:left="1340" w:header="0" w:footer="1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C228" w14:textId="77777777" w:rsidR="00D068BC" w:rsidRDefault="00D068BC">
      <w:r>
        <w:separator/>
      </w:r>
    </w:p>
  </w:endnote>
  <w:endnote w:type="continuationSeparator" w:id="0">
    <w:p w14:paraId="5055B6F6" w14:textId="77777777" w:rsidR="00D068BC" w:rsidRDefault="00D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4DE2" w14:textId="77777777" w:rsidR="001D5AF8" w:rsidRDefault="00BD22C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0C41B61" wp14:editId="1E5B0E44">
              <wp:simplePos x="0" y="0"/>
              <wp:positionH relativeFrom="page">
                <wp:posOffset>3696334</wp:posOffset>
              </wp:positionH>
              <wp:positionV relativeFrom="page">
                <wp:posOffset>9077069</wp:posOffset>
              </wp:positionV>
              <wp:extent cx="1638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7143D" w14:textId="77777777" w:rsidR="001D5AF8" w:rsidRDefault="00BD22C2">
                          <w:pPr>
                            <w:pStyle w:val="BodyText"/>
                            <w:spacing w:before="18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45F82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41B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05pt;margin-top:714.75pt;width:12.9pt;height:15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" filled="f" stroked="f">
              <v:textbox inset="0,0,0,0">
                <w:txbxContent>
                  <w:p w14:paraId="5F37143D" w14:textId="77777777" w:rsidR="001D5AF8" w:rsidRDefault="00BD22C2">
                    <w:pPr>
                      <w:pStyle w:val="BodyText"/>
                      <w:spacing w:before="18"/>
                      <w:ind w:left="6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t>1</w:t>
                    </w:r>
                    <w:r>
                      <w:rPr>
                        <w:rFonts w:ascii="Calibri"/>
                        <w:color w:val="145F82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263EF8C2" wp14:editId="58D9EAD7">
              <wp:simplePos x="0" y="0"/>
              <wp:positionH relativeFrom="page">
                <wp:posOffset>4362069</wp:posOffset>
              </wp:positionH>
              <wp:positionV relativeFrom="page">
                <wp:posOffset>9248061</wp:posOffset>
              </wp:positionV>
              <wp:extent cx="228346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34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A93CE" w14:textId="1F4FEFE9" w:rsidR="001D5AF8" w:rsidRDefault="001D5AF8">
                          <w:pPr>
                            <w:pStyle w:val="BodyText"/>
                            <w:spacing w:before="18"/>
                            <w:ind w:left="20" w:firstLine="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3EF8C2" id="Textbox 2" o:spid="_x0000_s1027" type="#_x0000_t202" style="position:absolute;margin-left:343.45pt;margin-top:728.2pt;width:179.8pt;height:15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" filled="f" stroked="f">
              <v:textbox inset="0,0,0,0">
                <w:txbxContent>
                  <w:p w14:paraId="129A93CE" w14:textId="1F4FEFE9" w:rsidR="001D5AF8" w:rsidRDefault="001D5AF8">
                    <w:pPr>
                      <w:pStyle w:val="BodyText"/>
                      <w:spacing w:before="18"/>
                      <w:ind w:left="20" w:firstLine="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3B131512" wp14:editId="661C1AA5">
              <wp:simplePos x="0" y="0"/>
              <wp:positionH relativeFrom="page">
                <wp:posOffset>673100</wp:posOffset>
              </wp:positionH>
              <wp:positionV relativeFrom="page">
                <wp:posOffset>9418749</wp:posOffset>
              </wp:positionV>
              <wp:extent cx="998219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19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5DD32" w14:textId="50DBE794" w:rsidR="001D5AF8" w:rsidRDefault="001D5AF8">
                          <w:pPr>
                            <w:pStyle w:val="BodyText"/>
                            <w:spacing w:before="18"/>
                            <w:ind w:left="20" w:firstLine="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31512" id="Textbox 3" o:spid="_x0000_s1028" type="#_x0000_t202" style="position:absolute;margin-left:53pt;margin-top:741.65pt;width:78.6pt;height:15.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" filled="f" stroked="f">
              <v:textbox inset="0,0,0,0">
                <w:txbxContent>
                  <w:p w14:paraId="5BD5DD32" w14:textId="50DBE794" w:rsidR="001D5AF8" w:rsidRDefault="001D5AF8">
                    <w:pPr>
                      <w:pStyle w:val="BodyText"/>
                      <w:spacing w:before="18"/>
                      <w:ind w:left="20" w:firstLine="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B907" w14:textId="77777777" w:rsidR="00D068BC" w:rsidRDefault="00D068BC">
      <w:r>
        <w:separator/>
      </w:r>
    </w:p>
  </w:footnote>
  <w:footnote w:type="continuationSeparator" w:id="0">
    <w:p w14:paraId="6578B1B2" w14:textId="77777777" w:rsidR="00D068BC" w:rsidRDefault="00D0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5D0"/>
    <w:multiLevelType w:val="hybridMultilevel"/>
    <w:tmpl w:val="E1F41386"/>
    <w:lvl w:ilvl="0" w:tplc="4442E942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3E06B12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E461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20F49130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62248E22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5" w:tplc="3506A96E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73E4914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 w:tplc="BDDE75A0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8" w:tplc="1556E4E8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num w:numId="1" w16cid:durableId="16359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F8"/>
    <w:rsid w:val="00116672"/>
    <w:rsid w:val="001D5AF8"/>
    <w:rsid w:val="002661F4"/>
    <w:rsid w:val="00311D41"/>
    <w:rsid w:val="004916E8"/>
    <w:rsid w:val="005E306F"/>
    <w:rsid w:val="00672E11"/>
    <w:rsid w:val="009379B1"/>
    <w:rsid w:val="009600EC"/>
    <w:rsid w:val="00985F1B"/>
    <w:rsid w:val="00992465"/>
    <w:rsid w:val="00B74DC7"/>
    <w:rsid w:val="00BD22C2"/>
    <w:rsid w:val="00CD6F39"/>
    <w:rsid w:val="00D068BC"/>
    <w:rsid w:val="00DE605F"/>
    <w:rsid w:val="00F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7662F"/>
  <w15:docId w15:val="{0E7A8798-D8A3-416E-A801-487EB4A2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9" w:hanging="359"/>
    </w:pPr>
  </w:style>
  <w:style w:type="paragraph" w:styleId="ListParagraph">
    <w:name w:val="List Paragraph"/>
    <w:basedOn w:val="Normal"/>
    <w:uiPriority w:val="1"/>
    <w:qFormat/>
    <w:pPr>
      <w:ind w:left="153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" w:line="250" w:lineRule="exact"/>
      <w:ind w:left="320"/>
    </w:pPr>
  </w:style>
  <w:style w:type="paragraph" w:styleId="NormalWeb">
    <w:name w:val="Normal (Web)"/>
    <w:basedOn w:val="Normal"/>
    <w:uiPriority w:val="99"/>
    <w:semiHidden/>
    <w:unhideWhenUsed/>
    <w:rsid w:val="00B74DC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1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Soria</dc:creator>
  <cp:lastModifiedBy>Cynthia Z. Cervantes</cp:lastModifiedBy>
  <cp:revision>2</cp:revision>
  <cp:lastPrinted>2025-01-07T22:22:00Z</cp:lastPrinted>
  <dcterms:created xsi:type="dcterms:W3CDTF">2025-01-07T22:22:00Z</dcterms:created>
  <dcterms:modified xsi:type="dcterms:W3CDTF">2025-01-07T22:22:00Z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for Microsoft 365</vt:lpwstr>
  </property>
</Properties>
</file>